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BE29" w14:textId="0190DD52" w:rsidR="00FC47D9" w:rsidRPr="005F594F" w:rsidRDefault="00FC47D9" w:rsidP="00FC47D9">
      <w:pPr>
        <w:rPr>
          <w:rFonts w:ascii="Noto Sans" w:hAnsi="Noto Sans" w:cs="Noto Sans"/>
          <w:b/>
          <w:bCs/>
          <w:lang w:val="es-ES"/>
        </w:rPr>
      </w:pPr>
      <w:r>
        <w:rPr>
          <w:rFonts w:ascii="Noto Sans" w:hAnsi="Noto Sans" w:cs="Noto Sans"/>
          <w:b/>
          <w:bCs/>
          <w:lang w:val="pt"/>
        </w:rPr>
        <w:t>A Domino lança soluções automatizadas de impressão de produtos e verificação de etiquetas</w:t>
      </w:r>
    </w:p>
    <w:p w14:paraId="7DB5BA38" w14:textId="1A2AD5E4" w:rsidR="00C875A8" w:rsidRPr="005F594F" w:rsidRDefault="00FC47D9" w:rsidP="00C875A8">
      <w:pPr>
        <w:rPr>
          <w:rFonts w:ascii="Noto Sans" w:hAnsi="Noto Sans" w:cs="Noto Sans"/>
          <w:sz w:val="20"/>
          <w:szCs w:val="20"/>
          <w:lang w:val="es-ES"/>
        </w:rPr>
      </w:pPr>
      <w:r>
        <w:rPr>
          <w:rFonts w:ascii="Noto Sans" w:hAnsi="Noto Sans" w:cs="Noto Sans"/>
          <w:sz w:val="20"/>
          <w:szCs w:val="20"/>
          <w:lang w:val="pt"/>
        </w:rPr>
        <w:t xml:space="preserve">A </w:t>
      </w:r>
      <w:hyperlink r:id="rId8" w:history="1">
        <w:r w:rsidRPr="00F8416C">
          <w:rPr>
            <w:rStyle w:val="Hyperlink"/>
            <w:rFonts w:ascii="Noto Sans" w:hAnsi="Noto Sans" w:cs="Noto Sans"/>
            <w:sz w:val="20"/>
            <w:szCs w:val="20"/>
            <w:lang w:val="pt"/>
          </w:rPr>
          <w:t>Domino Printing Sciences (Domino)</w:t>
        </w:r>
      </w:hyperlink>
      <w:r>
        <w:rPr>
          <w:rFonts w:ascii="Noto Sans" w:hAnsi="Noto Sans" w:cs="Noto Sans"/>
          <w:sz w:val="20"/>
          <w:szCs w:val="20"/>
          <w:lang w:val="pt"/>
        </w:rPr>
        <w:t xml:space="preserve">, fornecedor global de confiança de soluções integrais de impressão de dados variáveis, tem o prazer de anunciar o lançamento das suas novas soluções automatizadas de impressão de produtos e verificação de etiquetas para auxiliar os fabricantes na redução do risco de erros dispendiosos com a etiquetagem de produtos. As soluções mais recentes da Domino incluem software avançado de automatização da codificação que elimina a necessidade de intervenção manual e visão mecânica integrada para verificar a exatidão de cada código impresso. </w:t>
      </w:r>
    </w:p>
    <w:p w14:paraId="774C2B50" w14:textId="4936A060" w:rsidR="00FC47D9" w:rsidRPr="005F594F" w:rsidRDefault="00FC47D9" w:rsidP="00FC47D9">
      <w:pPr>
        <w:rPr>
          <w:rFonts w:ascii="Noto Sans" w:hAnsi="Noto Sans" w:cs="Noto Sans"/>
          <w:sz w:val="20"/>
          <w:szCs w:val="20"/>
          <w:lang w:val="es-ES"/>
        </w:rPr>
      </w:pPr>
      <w:r>
        <w:rPr>
          <w:rFonts w:ascii="Noto Sans" w:hAnsi="Noto Sans" w:cs="Noto Sans"/>
          <w:sz w:val="20"/>
          <w:szCs w:val="20"/>
          <w:lang w:val="pt"/>
        </w:rPr>
        <w:t xml:space="preserve">Com o aumento das exigências da legislação relativa à etiquetagem dos produtos de consumo, é agora mais importante do que nunca garantir a eficiência e a precisão nas operações de identificação de produtos. Não obstante, os erros de impressão de produtos provocados por processos ineficientes e uma dependência excessiva de intervenção humana continuam a ser um problema grave. </w:t>
      </w:r>
    </w:p>
    <w:p w14:paraId="4026844A" w14:textId="2DED562E" w:rsidR="00FC47D9" w:rsidRPr="005F594F" w:rsidRDefault="00FC47D9" w:rsidP="00FC47D9">
      <w:pPr>
        <w:rPr>
          <w:rFonts w:ascii="Noto Sans" w:hAnsi="Noto Sans" w:cs="Noto Sans"/>
          <w:sz w:val="20"/>
          <w:szCs w:val="20"/>
          <w:lang w:val="es-ES"/>
        </w:rPr>
      </w:pPr>
      <w:r>
        <w:rPr>
          <w:rFonts w:ascii="Noto Sans" w:hAnsi="Noto Sans" w:cs="Noto Sans"/>
          <w:sz w:val="20"/>
          <w:szCs w:val="20"/>
          <w:lang w:val="pt"/>
        </w:rPr>
        <w:t>"Só em janeiro de 2024, a FDA emitiu 19 recolhas de produtos alimentares nos EUA, 18 das quais atribuídas a alergénios não declarados por erro de etiquetagem", afirma Adem Kulauzovic, Diretor de Automatização da Domino. "Estes números evidenciam que as ineficiências de impressão e etiquetagem ainda estão muito presentes num grande número de fábricas, apesar dos recentes avanços na automatização da codificação de produtos."</w:t>
      </w:r>
    </w:p>
    <w:p w14:paraId="20ADD7D6" w14:textId="21874A42" w:rsidR="00FC47D9" w:rsidRPr="005F594F" w:rsidRDefault="00905B0C" w:rsidP="00FC47D9">
      <w:pPr>
        <w:pStyle w:val="pf0"/>
        <w:rPr>
          <w:rStyle w:val="cf01"/>
          <w:rFonts w:ascii="Noto Sans" w:hAnsi="Noto Sans" w:cs="Noto Sans"/>
          <w:sz w:val="20"/>
          <w:szCs w:val="20"/>
          <w:lang w:val="es-ES"/>
        </w:rPr>
      </w:pPr>
      <w:r>
        <w:rPr>
          <w:rStyle w:val="cf01"/>
          <w:rFonts w:ascii="Noto Sans" w:hAnsi="Noto Sans" w:cs="Noto Sans"/>
          <w:sz w:val="20"/>
          <w:szCs w:val="20"/>
          <w:lang w:val="pt"/>
        </w:rPr>
        <w:t xml:space="preserve">Relatórios recentes da indústria também corroboram estas descobertas, nomeadamente o recente </w:t>
      </w:r>
      <w:r>
        <w:rPr>
          <w:rFonts w:ascii="Noto Sans" w:hAnsi="Noto Sans" w:cs="Noto Sans"/>
          <w:sz w:val="20"/>
          <w:szCs w:val="20"/>
          <w:lang w:val="pt"/>
        </w:rPr>
        <w:t xml:space="preserve">Industry Insights Survey 2024 da Automate UK, onde se constatou que 81% dos trabalhadores da indústria identificaram a automatização como principal desafio para 2023. O custo da adoção, a falta de conhecimentos internos e a incapacidade de encontrar os fornecedores certos destacam-se como alguns dos principais obstáculos à adoção. </w:t>
      </w:r>
    </w:p>
    <w:p w14:paraId="483DF51F" w14:textId="461E07BF" w:rsidR="00FC47D9" w:rsidRPr="005F594F" w:rsidRDefault="00FC47D9" w:rsidP="00FC47D9">
      <w:pPr>
        <w:rPr>
          <w:rFonts w:ascii="Noto Sans" w:hAnsi="Noto Sans" w:cs="Noto Sans"/>
          <w:sz w:val="20"/>
          <w:szCs w:val="20"/>
          <w:lang w:val="es-ES"/>
        </w:rPr>
      </w:pPr>
      <w:r>
        <w:rPr>
          <w:rFonts w:ascii="Noto Sans" w:hAnsi="Noto Sans" w:cs="Noto Sans"/>
          <w:sz w:val="20"/>
          <w:szCs w:val="20"/>
          <w:lang w:val="pt"/>
        </w:rPr>
        <w:t>"Quando se trata de adotar a automatização, conceber uma solução que integre várias tecnologias e, ao mesmo tempo, faça a gestão das relações com vários fornecedores pode ser dispendioso e complexo, constituindo um desafio para muitas empresas", continua Kulauzovic. "As nossas soluções de ciclo fechado foram concebidas para oferecer todas as vantagens da codificação automatizada de produtos a partir de uma única fonte de confiança, simplificando o processo e reduzindo os custos associados aos longos prazos dos projetos. Além disso, as nossas opções flexíveis de financiamento, que incluem modelos de subscrição e leasing de produtos, significam que as empresas podem atualizar os seus sistemas sem um investimento de capital avultado."</w:t>
      </w:r>
    </w:p>
    <w:p w14:paraId="0BF191F0" w14:textId="7834F7C0" w:rsidR="00FC47D9" w:rsidRPr="005F594F" w:rsidRDefault="00FC47D9" w:rsidP="00FC47D9">
      <w:pPr>
        <w:rPr>
          <w:rFonts w:ascii="Noto Sans" w:hAnsi="Noto Sans" w:cs="Noto Sans"/>
          <w:sz w:val="20"/>
          <w:szCs w:val="20"/>
          <w:lang w:val="es-ES"/>
        </w:rPr>
      </w:pPr>
      <w:r>
        <w:rPr>
          <w:rFonts w:ascii="Noto Sans" w:hAnsi="Noto Sans" w:cs="Noto Sans"/>
          <w:sz w:val="20"/>
          <w:szCs w:val="20"/>
          <w:lang w:val="pt"/>
        </w:rPr>
        <w:t xml:space="preserve">A Domino aposta no fornecimento de soluções completas de ponta a ponta para a impressão de dados variáveis, para que os fabricantes possam </w:t>
      </w:r>
      <w:r>
        <w:rPr>
          <w:rFonts w:ascii="Noto Sans" w:hAnsi="Noto Sans" w:cs="Noto Sans"/>
          <w:color w:val="363537"/>
          <w:sz w:val="20"/>
          <w:szCs w:val="20"/>
          <w:shd w:val="clear" w:color="auto" w:fill="FFFFFF"/>
          <w:lang w:val="pt"/>
        </w:rPr>
        <w:t xml:space="preserve">garantir que a energia, o tempo e os fundos que investem são gastos na criação de produtos de alta qualidade e comercializáveis. </w:t>
      </w:r>
      <w:r>
        <w:rPr>
          <w:rFonts w:ascii="Noto Sans" w:hAnsi="Noto Sans" w:cs="Noto Sans"/>
          <w:sz w:val="20"/>
          <w:szCs w:val="20"/>
          <w:lang w:val="pt"/>
        </w:rPr>
        <w:t xml:space="preserve">As </w:t>
      </w:r>
      <w:r>
        <w:rPr>
          <w:rFonts w:ascii="Noto Sans" w:hAnsi="Noto Sans" w:cs="Noto Sans"/>
          <w:sz w:val="20"/>
          <w:szCs w:val="20"/>
          <w:lang w:val="pt"/>
        </w:rPr>
        <w:lastRenderedPageBreak/>
        <w:t xml:space="preserve">soluções integrais incluem dois produtos recém-lançados, o </w:t>
      </w:r>
      <w:r>
        <w:rPr>
          <w:rFonts w:ascii="Noto Sans" w:hAnsi="Noto Sans" w:cs="Noto Sans"/>
          <w:b/>
          <w:bCs/>
          <w:sz w:val="20"/>
          <w:szCs w:val="20"/>
          <w:lang w:val="pt"/>
        </w:rPr>
        <w:t>Domino Automation</w:t>
      </w:r>
      <w:r>
        <w:rPr>
          <w:rFonts w:ascii="Noto Sans" w:hAnsi="Noto Sans" w:cs="Noto Sans"/>
          <w:sz w:val="20"/>
          <w:szCs w:val="20"/>
          <w:lang w:val="pt"/>
        </w:rPr>
        <w:t xml:space="preserve"> e o </w:t>
      </w:r>
      <w:r>
        <w:rPr>
          <w:rFonts w:ascii="Noto Sans" w:hAnsi="Noto Sans" w:cs="Noto Sans"/>
          <w:b/>
          <w:bCs/>
          <w:sz w:val="20"/>
          <w:szCs w:val="20"/>
          <w:lang w:val="pt"/>
        </w:rPr>
        <w:t>R-Series i-Tech</w:t>
      </w:r>
      <w:r>
        <w:rPr>
          <w:rFonts w:ascii="Noto Sans" w:hAnsi="Noto Sans" w:cs="Noto Sans"/>
          <w:sz w:val="20"/>
          <w:szCs w:val="20"/>
          <w:lang w:val="pt"/>
        </w:rPr>
        <w:t xml:space="preserve">, além da monitorização remota dos serviços em cloud da Domino. Todos estes produtos foram concebidos para funcionar em conjunto com a gama completa de soluções de impressão de dados variáveis da Domino: </w:t>
      </w:r>
    </w:p>
    <w:p w14:paraId="4D785856" w14:textId="6EF20063" w:rsidR="00FC47D9" w:rsidRPr="005F594F" w:rsidRDefault="00FC47D9" w:rsidP="00FC47D9">
      <w:pPr>
        <w:pStyle w:val="pf0"/>
        <w:numPr>
          <w:ilvl w:val="0"/>
          <w:numId w:val="5"/>
        </w:numPr>
        <w:rPr>
          <w:rFonts w:ascii="Noto Sans" w:hAnsi="Noto Sans" w:cs="Noto Sans"/>
          <w:sz w:val="20"/>
          <w:szCs w:val="20"/>
          <w:lang w:val="es-ES"/>
        </w:rPr>
      </w:pPr>
      <w:r>
        <w:rPr>
          <w:rStyle w:val="cf01"/>
          <w:rFonts w:ascii="Noto Sans" w:hAnsi="Noto Sans" w:cs="Noto Sans"/>
          <w:b/>
          <w:bCs/>
          <w:sz w:val="20"/>
          <w:szCs w:val="20"/>
          <w:lang w:val="pt"/>
        </w:rPr>
        <w:t xml:space="preserve">Domino Automation: </w:t>
      </w:r>
      <w:r>
        <w:rPr>
          <w:rStyle w:val="cf01"/>
          <w:rFonts w:ascii="Noto Sans" w:hAnsi="Noto Sans" w:cs="Noto Sans"/>
          <w:sz w:val="20"/>
          <w:szCs w:val="20"/>
          <w:lang w:val="pt"/>
        </w:rPr>
        <w:t xml:space="preserve">armazenamento centralizado de mensagens e software de gestão automática de impressoras </w:t>
      </w:r>
    </w:p>
    <w:p w14:paraId="1CE1C545" w14:textId="54AC6CD5" w:rsidR="00FC47D9" w:rsidRPr="005F594F" w:rsidRDefault="00FC47D9" w:rsidP="00FC47D9">
      <w:pPr>
        <w:pStyle w:val="pf0"/>
        <w:numPr>
          <w:ilvl w:val="0"/>
          <w:numId w:val="5"/>
        </w:numPr>
        <w:rPr>
          <w:rFonts w:ascii="Noto Sans" w:hAnsi="Noto Sans" w:cs="Noto Sans"/>
          <w:sz w:val="20"/>
          <w:szCs w:val="20"/>
          <w:lang w:val="es-ES"/>
        </w:rPr>
      </w:pPr>
      <w:r>
        <w:rPr>
          <w:rStyle w:val="cf01"/>
          <w:rFonts w:ascii="Noto Sans" w:hAnsi="Noto Sans" w:cs="Noto Sans"/>
          <w:b/>
          <w:bCs/>
          <w:sz w:val="20"/>
          <w:szCs w:val="20"/>
          <w:lang w:val="pt"/>
        </w:rPr>
        <w:t>R-Series i-Tech:</w:t>
      </w:r>
      <w:r>
        <w:rPr>
          <w:rStyle w:val="cf01"/>
          <w:rFonts w:ascii="Noto Sans" w:hAnsi="Noto Sans" w:cs="Noto Sans"/>
          <w:sz w:val="20"/>
          <w:szCs w:val="20"/>
          <w:lang w:val="pt"/>
        </w:rPr>
        <w:t xml:space="preserve"> sistema de verificação de etiquetas e de controlo de qualidade otimizado para linhas de produção de alta velocidade </w:t>
      </w:r>
    </w:p>
    <w:p w14:paraId="1C599C5E" w14:textId="0F9C8FC1" w:rsidR="00FC47D9" w:rsidRPr="005F594F" w:rsidRDefault="00FC47D9" w:rsidP="00FC47D9">
      <w:pPr>
        <w:pStyle w:val="pf0"/>
        <w:numPr>
          <w:ilvl w:val="0"/>
          <w:numId w:val="5"/>
        </w:numPr>
        <w:rPr>
          <w:rStyle w:val="cf01"/>
          <w:rFonts w:ascii="Noto Sans" w:hAnsi="Noto Sans" w:cs="Noto Sans"/>
          <w:sz w:val="20"/>
          <w:szCs w:val="20"/>
          <w:lang w:val="es-ES"/>
        </w:rPr>
      </w:pPr>
      <w:r>
        <w:rPr>
          <w:rStyle w:val="cf01"/>
          <w:rFonts w:ascii="Noto Sans" w:hAnsi="Noto Sans" w:cs="Noto Sans"/>
          <w:sz w:val="20"/>
          <w:szCs w:val="20"/>
          <w:lang w:val="pt"/>
        </w:rPr>
        <w:t xml:space="preserve">Serviços em cloud da Domino: ferramentas de monitorização de máquinas para diagnóstico remoto, resolução de problemas e otimização </w:t>
      </w:r>
    </w:p>
    <w:p w14:paraId="34D093BF" w14:textId="7EE5E3C3" w:rsidR="00FC47D9" w:rsidRPr="005F594F" w:rsidRDefault="00FC47D9" w:rsidP="00FC47D9">
      <w:pPr>
        <w:pStyle w:val="pf0"/>
        <w:rPr>
          <w:rFonts w:ascii="Noto Sans" w:hAnsi="Noto Sans" w:cs="Noto Sans"/>
          <w:sz w:val="20"/>
          <w:szCs w:val="20"/>
          <w:lang w:val="es-ES"/>
        </w:rPr>
      </w:pPr>
      <w:r>
        <w:rPr>
          <w:rFonts w:ascii="Noto Sans" w:hAnsi="Noto Sans" w:cs="Noto Sans"/>
          <w:sz w:val="20"/>
          <w:szCs w:val="20"/>
          <w:lang w:val="pt"/>
        </w:rPr>
        <w:t xml:space="preserve">As soluções da Domino podem ser adaptadas às necessidades do cliente, uma vez que todos os componentes estão disponíveis como produtos autónomos ou conjugados numa solução integral de ciclo fechado. </w:t>
      </w:r>
    </w:p>
    <w:p w14:paraId="40C0D8CF" w14:textId="13E0F927" w:rsidR="00FC47D9" w:rsidRPr="005F594F" w:rsidRDefault="00FC47D9" w:rsidP="00FC47D9">
      <w:pPr>
        <w:rPr>
          <w:rFonts w:ascii="Noto Sans" w:hAnsi="Noto Sans" w:cs="Noto Sans"/>
          <w:color w:val="1C1C1C"/>
          <w:sz w:val="20"/>
          <w:szCs w:val="20"/>
          <w:shd w:val="clear" w:color="auto" w:fill="FFFFFF"/>
          <w:lang w:val="es-ES"/>
        </w:rPr>
      </w:pPr>
      <w:r>
        <w:rPr>
          <w:rFonts w:ascii="Noto Sans" w:hAnsi="Noto Sans" w:cs="Noto Sans"/>
          <w:color w:val="1C1C1C"/>
          <w:sz w:val="20"/>
          <w:szCs w:val="20"/>
          <w:shd w:val="clear" w:color="auto" w:fill="FFFFFF"/>
          <w:lang w:val="pt"/>
        </w:rPr>
        <w:t xml:space="preserve">Como parte dos extensos testes aos clientes da Domino, foram fornecidas soluções integrais de impressão de produtos e de verificação de etiquetas em vários locais da atual base de clientes da Domino. A facilidade de integração de uma solução completa de um único fornecedor foi alvo de um feedback positivo substancial. </w:t>
      </w:r>
    </w:p>
    <w:p w14:paraId="6F012DA9" w14:textId="55C312B3" w:rsidR="003A680F" w:rsidRPr="005F594F" w:rsidRDefault="00FC47D9" w:rsidP="00FC47D9">
      <w:pPr>
        <w:rPr>
          <w:rFonts w:ascii="Noto Sans" w:hAnsi="Noto Sans" w:cs="Noto Sans"/>
          <w:sz w:val="20"/>
          <w:szCs w:val="20"/>
          <w:lang w:val="es-ES"/>
        </w:rPr>
      </w:pPr>
      <w:r>
        <w:rPr>
          <w:rFonts w:ascii="Noto Sans" w:hAnsi="Noto Sans" w:cs="Noto Sans"/>
          <w:sz w:val="20"/>
          <w:szCs w:val="20"/>
          <w:lang w:val="pt"/>
        </w:rPr>
        <w:t>"O mercado tem demonstrado que o custo e a complexidade são fatores de um enorme peso que impedem os fabricantes de adotar a automatização.</w:t>
      </w:r>
      <w:r>
        <w:rPr>
          <w:rFonts w:ascii="Noto Sans" w:hAnsi="Noto Sans" w:cs="Noto Sans"/>
          <w:color w:val="1C1C1C"/>
          <w:sz w:val="20"/>
          <w:szCs w:val="20"/>
          <w:shd w:val="clear" w:color="auto" w:fill="FFFFFF"/>
          <w:lang w:val="pt"/>
        </w:rPr>
        <w:t xml:space="preserve"> Estamos aqui para lhe dizer que a automatização da codificação</w:t>
      </w:r>
      <w:r>
        <w:rPr>
          <w:rFonts w:ascii="Noto Sans" w:hAnsi="Noto Sans" w:cs="Noto Sans"/>
          <w:sz w:val="20"/>
          <w:szCs w:val="20"/>
          <w:lang w:val="pt"/>
        </w:rPr>
        <w:t xml:space="preserve"> não precisa de ser dispendiosa nem complexa", afirma Tony McNulty, Diretor de Produtos da Domino. "</w:t>
      </w:r>
      <w:r>
        <w:rPr>
          <w:rFonts w:ascii="Noto Sans" w:hAnsi="Noto Sans" w:cs="Noto Sans"/>
          <w:color w:val="1C1C1C"/>
          <w:sz w:val="20"/>
          <w:szCs w:val="20"/>
          <w:shd w:val="clear" w:color="auto" w:fill="FFFFFF"/>
          <w:lang w:val="pt"/>
        </w:rPr>
        <w:t>As nossas soluções integrais foram concebidas para que os fabricantes possam automatizar facilmente a etiquetagem dos seus produtos, reduzindo o risco de erros, sem o incómodo de gerir vários fornecedores ou tecnologias contraditórias."</w:t>
      </w:r>
    </w:p>
    <w:p w14:paraId="79D4E43F" w14:textId="54BAFE7E" w:rsidR="00AA63B1" w:rsidRDefault="008A7EC8" w:rsidP="00BD468A">
      <w:pPr>
        <w:rPr>
          <w:rFonts w:ascii="Noto Sans" w:hAnsi="Noto Sans" w:cs="Noto Sans"/>
          <w:sz w:val="20"/>
          <w:szCs w:val="20"/>
          <w:lang w:val="pt"/>
        </w:rPr>
      </w:pPr>
      <w:bookmarkStart w:id="0" w:name="_Hlk169684172"/>
      <w:r>
        <w:rPr>
          <w:rFonts w:ascii="Noto Sans" w:hAnsi="Noto Sans" w:cs="Noto Sans"/>
          <w:sz w:val="20"/>
          <w:szCs w:val="20"/>
          <w:lang w:val="pt"/>
        </w:rPr>
        <w:t>Visite o website para obter mais informações sobre as</w:t>
      </w:r>
      <w:hyperlink r:id="rId9" w:history="1">
        <w:r w:rsidRPr="005F594F">
          <w:rPr>
            <w:rStyle w:val="Hyperlink"/>
            <w:rFonts w:ascii="Noto Sans" w:hAnsi="Noto Sans" w:cs="Noto Sans"/>
            <w:sz w:val="20"/>
            <w:szCs w:val="20"/>
            <w:lang w:val="pt"/>
          </w:rPr>
          <w:t xml:space="preserve"> soluções automatizadas de impressão de produtos</w:t>
        </w:r>
      </w:hyperlink>
      <w:r>
        <w:rPr>
          <w:rFonts w:ascii="Noto Sans" w:hAnsi="Noto Sans" w:cs="Noto Sans"/>
          <w:sz w:val="20"/>
          <w:szCs w:val="20"/>
          <w:lang w:val="pt"/>
        </w:rPr>
        <w:t xml:space="preserve"> e </w:t>
      </w:r>
      <w:hyperlink r:id="rId10" w:history="1">
        <w:r w:rsidRPr="005F594F">
          <w:rPr>
            <w:rStyle w:val="Hyperlink"/>
            <w:rFonts w:ascii="Noto Sans" w:hAnsi="Noto Sans" w:cs="Noto Sans"/>
            <w:sz w:val="20"/>
            <w:szCs w:val="20"/>
            <w:lang w:val="pt"/>
          </w:rPr>
          <w:t>verificação de etiquetas</w:t>
        </w:r>
      </w:hyperlink>
      <w:r>
        <w:rPr>
          <w:rFonts w:ascii="Noto Sans" w:hAnsi="Noto Sans" w:cs="Noto Sans"/>
          <w:sz w:val="20"/>
          <w:szCs w:val="20"/>
          <w:lang w:val="pt"/>
        </w:rPr>
        <w:t xml:space="preserve">. </w:t>
      </w:r>
      <w:bookmarkEnd w:id="0"/>
    </w:p>
    <w:p w14:paraId="21185879" w14:textId="77777777" w:rsidR="00D4477C" w:rsidRPr="00D061E4" w:rsidRDefault="00D4477C" w:rsidP="00D4477C">
      <w:pPr>
        <w:rPr>
          <w:rFonts w:ascii="Noto Sans" w:hAnsi="Noto Sans" w:cs="Noto Sans"/>
          <w:b/>
          <w:bCs/>
          <w:color w:val="202124"/>
          <w:sz w:val="20"/>
          <w:szCs w:val="20"/>
          <w:shd w:val="clear" w:color="auto" w:fill="F8F9FA"/>
          <w:lang w:val="es-ES"/>
        </w:rPr>
      </w:pPr>
      <w:r w:rsidRPr="00564C71">
        <w:rPr>
          <w:rFonts w:ascii="Noto Sans" w:hAnsi="Noto Sans" w:cs="Noto Sans"/>
          <w:b/>
          <w:bCs/>
          <w:sz w:val="20"/>
          <w:szCs w:val="20"/>
          <w:lang w:val="es-ES"/>
        </w:rPr>
        <w:t>&lt;</w:t>
      </w:r>
      <w:r w:rsidRPr="00D061E4">
        <w:rPr>
          <w:rFonts w:ascii="Noto Sans" w:hAnsi="Noto Sans" w:cs="Noto Sans"/>
          <w:b/>
          <w:bCs/>
          <w:sz w:val="20"/>
          <w:szCs w:val="20"/>
          <w:lang w:val="es-ES"/>
        </w:rPr>
        <w:t xml:space="preserve"> </w:t>
      </w:r>
      <w:r w:rsidRPr="00D061E4">
        <w:rPr>
          <w:rFonts w:ascii="Noto Sans" w:hAnsi="Noto Sans" w:cs="Noto Sans"/>
          <w:b/>
          <w:bCs/>
          <w:color w:val="202124"/>
          <w:sz w:val="20"/>
          <w:szCs w:val="20"/>
          <w:shd w:val="clear" w:color="auto" w:fill="F8F9FA"/>
          <w:lang w:val="es-ES"/>
        </w:rPr>
        <w:t>FIM&gt;</w:t>
      </w:r>
    </w:p>
    <w:p w14:paraId="29B9E583" w14:textId="77777777" w:rsidR="00D061E4" w:rsidRPr="00D54B44" w:rsidRDefault="00D061E4" w:rsidP="00D061E4">
      <w:pPr>
        <w:spacing w:line="240" w:lineRule="auto"/>
        <w:rPr>
          <w:rFonts w:ascii="Noto Sans" w:hAnsi="Noto Sans" w:cs="Noto Sans"/>
          <w:color w:val="0D0D0D" w:themeColor="text1" w:themeTint="F2"/>
          <w:sz w:val="20"/>
          <w:szCs w:val="20"/>
          <w:lang w:val="pt-PT"/>
        </w:rPr>
      </w:pPr>
      <w:r w:rsidRPr="00D54B44">
        <w:rPr>
          <w:rFonts w:ascii="Noto Sans" w:eastAsia="Gill Sans" w:hAnsi="Noto Sans" w:cs="Noto Sans"/>
          <w:b/>
          <w:bCs/>
          <w:sz w:val="20"/>
          <w:szCs w:val="20"/>
          <w:lang w:val="pt-PT"/>
        </w:rPr>
        <w:t>Isenção de responsabilidade</w:t>
      </w:r>
      <w:r w:rsidRPr="00D54B44">
        <w:rPr>
          <w:rFonts w:ascii="Noto Sans" w:eastAsia="Gill Sans" w:hAnsi="Noto Sans" w:cs="Noto Sans"/>
          <w:b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D54B44">
        <w:rPr>
          <w:rFonts w:ascii="Noto Sans" w:hAnsi="Noto Sans" w:cs="Noto Sans"/>
          <w:b/>
          <w:bCs/>
          <w:sz w:val="20"/>
          <w:szCs w:val="20"/>
          <w:lang w:val="pt-PT"/>
        </w:rPr>
        <w:t>Tintas</w:t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r w:rsidRPr="00D54B44">
        <w:rPr>
          <w:rFonts w:ascii="Noto Sans" w:hAnsi="Noto Sans" w:cs="Noto Sans"/>
          <w:sz w:val="20"/>
          <w:szCs w:val="20"/>
          <w:lang w:val="pt-PT"/>
        </w:rPr>
        <w:t xml:space="preserve">As informações que se encontram no presente documento não devem substituir a realização dos testes adequados às suas circunstâncias e usos específicos. A Marque TDI, S.A. e as empresas do grupo Domino não serão, de forma alguma, responsáveis por qualquer tipo de confiança com base neste documento em relação à adequação de qualquer uma das nossas tintas para a sua aplicação em particular. O presente documento não faz parte de quaisquer termos e condições celebrados entre si e a Marque TDI/Domino. Os Termos e Condições de venda da Domino, em particular as garantias e responsabilidades presentes nos mesmos, dever-se-ão aplicar a qualquer uma das suas compras de produtos. </w:t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r w:rsidRPr="00D54B44">
        <w:rPr>
          <w:rFonts w:ascii="Noto Sans" w:hAnsi="Noto Sans" w:cs="Noto Sans"/>
          <w:sz w:val="20"/>
          <w:szCs w:val="20"/>
          <w:lang w:val="es-ES"/>
        </w:rPr>
        <w:lastRenderedPageBreak/>
        <w:br/>
      </w:r>
      <w:r w:rsidRPr="00D54B44">
        <w:rPr>
          <w:rFonts w:ascii="Noto Sans" w:hAnsi="Noto Sans" w:cs="Noto Sans"/>
          <w:b/>
          <w:bCs/>
          <w:sz w:val="20"/>
          <w:szCs w:val="20"/>
          <w:lang w:val="pt-PT"/>
        </w:rPr>
        <w:t>Geral</w:t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r w:rsidRPr="00D54B44">
        <w:rPr>
          <w:rFonts w:ascii="Noto Sans" w:hAnsi="Noto Sans" w:cs="Noto Sans"/>
          <w:sz w:val="20"/>
          <w:szCs w:val="20"/>
          <w:lang w:val="pt-PT"/>
        </w:rPr>
        <w:t>Todos os valores em termos de desempenho e alegações citados no presente documento foram obtidos sob condições específicas e apenas poderão ser repetidos sob condições semelhantes. Para obter detalhes específicos do produto, deve entrar em contacto com o seu Consultor Comercial da Marque TDI/Domino. O presente documento não faz parte de quaisquer termos e condições celebrados entre si e a Marque TDI/Domino.</w:t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r w:rsidRPr="00D54B44">
        <w:rPr>
          <w:rFonts w:ascii="Noto Sans" w:hAnsi="Noto Sans" w:cs="Noto Sans"/>
          <w:b/>
          <w:bCs/>
          <w:sz w:val="20"/>
          <w:szCs w:val="20"/>
          <w:lang w:val="pt-PT"/>
        </w:rPr>
        <w:t>Imagens</w:t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r w:rsidRPr="00D54B44">
        <w:rPr>
          <w:rFonts w:ascii="Noto Sans" w:hAnsi="Noto Sans" w:cs="Noto Sans"/>
          <w:sz w:val="20"/>
          <w:szCs w:val="20"/>
          <w:lang w:val="pt-PT"/>
        </w:rPr>
        <w:t xml:space="preserve">As imagens podem incluir melhorias ou extras opcionais. A qualidade de impressão pode variar de acordo com os consumíveis, o equipamento, a superfície e outros fatores. As imagens e fotografias não fazem parte de quaisquer termos e condições celebrados entre si e a Marque TDI/Domino. </w:t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r w:rsidRPr="00D54B44">
        <w:rPr>
          <w:rFonts w:ascii="Noto Sans" w:hAnsi="Noto Sans" w:cs="Noto Sans"/>
          <w:b/>
          <w:bCs/>
          <w:sz w:val="20"/>
          <w:szCs w:val="20"/>
          <w:lang w:val="pt-PT"/>
        </w:rPr>
        <w:t>Vídeos</w:t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r w:rsidRPr="00D54B44">
        <w:rPr>
          <w:rFonts w:ascii="Noto Sans" w:hAnsi="Noto Sans" w:cs="Noto Sans"/>
          <w:sz w:val="20"/>
          <w:szCs w:val="20"/>
          <w:lang w:val="pt-PT"/>
        </w:rPr>
        <w:t>Este vídeo é apenas ilustrativo e pode incluir extras opcionais. Os valores relativos ao desempenho foram obtidos sob condições específicas; o desempenho individual pode variar. Os erros e as paragens das linhas de produção podem ser inevitáveis. Nada do que se encontra neste vídeo faz parte de qualquer contrato celebrado entre si e a Marque TDI/Domino.</w:t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sz w:val="20"/>
          <w:szCs w:val="20"/>
          <w:lang w:val="es-ES"/>
        </w:rPr>
        <w:br/>
      </w:r>
      <w:bookmarkStart w:id="1" w:name="_Hlk61949672"/>
      <w:r w:rsidRPr="00D54B44">
        <w:rPr>
          <w:rFonts w:ascii="Noto Sans" w:eastAsia="Gill Sans" w:hAnsi="Noto Sans" w:cs="Noto Sans"/>
          <w:b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b/>
          <w:bCs/>
          <w:sz w:val="20"/>
          <w:szCs w:val="20"/>
          <w:lang w:val="pt-PT"/>
        </w:rPr>
        <w:t>Notas para os editores:</w:t>
      </w:r>
      <w:r w:rsidRPr="00D54B44">
        <w:rPr>
          <w:rFonts w:ascii="Noto Sans" w:eastAsia="Gill Sans" w:hAnsi="Noto Sans" w:cs="Noto Sans"/>
          <w:b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b/>
          <w:bCs/>
          <w:sz w:val="20"/>
          <w:szCs w:val="20"/>
          <w:lang w:val="pt-PT"/>
        </w:rPr>
        <w:t>Acerca da Domino</w:t>
      </w:r>
      <w:r w:rsidRPr="00D54B44">
        <w:rPr>
          <w:rFonts w:ascii="Noto Sans" w:eastAsia="Gill Sans" w:hAnsi="Noto Sans" w:cs="Noto Sans"/>
          <w:b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sz w:val="20"/>
          <w:szCs w:val="20"/>
          <w:lang w:val="pt-PT"/>
        </w:rPr>
        <w:t xml:space="preserve">Desde 1978, a Domino Printing Sciences (Domino) estabeleceu uma reputação global relativamente ao desenvolvimento e fabrico de tecnologias de codificação, marcação e impressão, assim como aos seus produtos de pós-venda e ao atendimento ao cliente a nível mundial. Atualmente, a Domino oferece uma das mais abrangentes gamas de soluções de codificação concebidas com o objetivo de cumprirem os requisitos de conformidade e produtividade dos fabricantes em muitos setores, incluindo bebidas, produtos alimentares, farmacêuticos e industriais. As principais tecnologias da empresa incluem sistemas inovadores de impressão a jato de tinta, impressão a laser, impressão e aplicação e impressão por transferência térmica, concebidos para a aplicação de dados variáveis, códigos de barras e códigos de rastreabilidade exclusivos em produtos e embalagens. </w:t>
      </w:r>
      <w:r w:rsidRPr="00D54B44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sz w:val="20"/>
          <w:szCs w:val="20"/>
          <w:lang w:val="pt-PT"/>
        </w:rPr>
        <w:t>A Domino emprega mais de 3000 pessoas em todo mundo e comercializa para mais de 120 países através de uma rede global de 29 filiais e mais de 200 distribuidores. As instalações de fabrico da Domino estão localizadas na Alemanha, China, EUA, Índia, Reino Unido, Suécia e Suíça.</w:t>
      </w:r>
      <w:r w:rsidRPr="00D54B44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sz w:val="20"/>
          <w:szCs w:val="20"/>
          <w:lang w:val="pt-PT"/>
        </w:rPr>
        <w:t xml:space="preserve">A Domino tornou-se uma divisão independente da Brother Industries Ltd. a 11 de junho de 2015. </w:t>
      </w:r>
      <w:r w:rsidRPr="00D54B44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lang w:val="es-ES"/>
        </w:rPr>
        <w:lastRenderedPageBreak/>
        <w:br/>
      </w:r>
      <w:r w:rsidRPr="00D54B44">
        <w:rPr>
          <w:rFonts w:ascii="Noto Sans" w:hAnsi="Noto Sans" w:cs="Noto Sans"/>
          <w:sz w:val="20"/>
          <w:szCs w:val="24"/>
          <w:lang w:val="pt-PT"/>
        </w:rPr>
        <w:t>A Marque TDI é subsidiária da Domino em Portugal.</w:t>
      </w:r>
      <w:r w:rsidRPr="00D54B44">
        <w:rPr>
          <w:rFonts w:ascii="Noto Sans" w:eastAsia="Gill Sans" w:hAnsi="Noto Sans" w:cs="Noto Sans"/>
          <w:lang w:val="es-ES"/>
        </w:rPr>
        <w:br/>
      </w:r>
      <w:r w:rsidRPr="00D54B44">
        <w:rPr>
          <w:rFonts w:ascii="Noto Sans" w:eastAsia="Gill Sans" w:hAnsi="Noto Sans" w:cs="Noto Sans"/>
          <w:lang w:val="es-ES"/>
        </w:rPr>
        <w:br/>
      </w:r>
      <w:r w:rsidRPr="00D54B44">
        <w:rPr>
          <w:rFonts w:ascii="Noto Sans" w:eastAsia="Gill Sans" w:hAnsi="Noto Sans" w:cs="Noto Sans"/>
          <w:sz w:val="20"/>
          <w:szCs w:val="20"/>
          <w:lang w:val="pt-PT"/>
        </w:rPr>
        <w:t xml:space="preserve">Para obter mais informações sobre a Domino, visite </w:t>
      </w:r>
      <w:hyperlink r:id="rId11" w:history="1">
        <w:r w:rsidRPr="00D54B44">
          <w:rPr>
            <w:rStyle w:val="Hyperlink"/>
            <w:rFonts w:ascii="Noto Sans" w:eastAsia="Gill Sans" w:hAnsi="Noto Sans" w:cs="Noto Sans"/>
            <w:sz w:val="20"/>
            <w:szCs w:val="20"/>
            <w:lang w:val="pt-PT"/>
          </w:rPr>
          <w:t>www.domino-printing.pt</w:t>
        </w:r>
      </w:hyperlink>
      <w:r w:rsidRPr="00D54B44">
        <w:rPr>
          <w:rFonts w:ascii="Noto Sans" w:eastAsia="Gill Sans" w:hAnsi="Noto Sans" w:cs="Noto Sans"/>
          <w:sz w:val="20"/>
          <w:szCs w:val="20"/>
          <w:lang w:val="pt-PT"/>
        </w:rPr>
        <w:t xml:space="preserve"> </w:t>
      </w:r>
      <w:r w:rsidRPr="00D54B44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D54B44">
        <w:rPr>
          <w:rFonts w:ascii="Noto Sans" w:eastAsia="Gill Sans" w:hAnsi="Noto Sans" w:cs="Noto Sans"/>
          <w:b/>
          <w:bCs/>
          <w:sz w:val="20"/>
          <w:szCs w:val="20"/>
          <w:lang w:val="pt-PT"/>
        </w:rPr>
        <w:t>Para obter mais informações, contacte:</w:t>
      </w:r>
      <w:r w:rsidRPr="00D54B44">
        <w:rPr>
          <w:rFonts w:ascii="Noto Sans" w:eastAsia="Gill Sans" w:hAnsi="Noto Sans" w:cs="Noto Sans"/>
          <w:b/>
          <w:bCs/>
          <w:sz w:val="20"/>
          <w:szCs w:val="20"/>
          <w:lang w:val="pt-PT"/>
        </w:rPr>
        <w:br/>
      </w:r>
      <w:r w:rsidRPr="00D54B44">
        <w:rPr>
          <w:rFonts w:ascii="Noto Sans" w:eastAsia="Gill Sans" w:hAnsi="Noto Sans" w:cs="Noto Sans"/>
          <w:b/>
          <w:bCs/>
          <w:sz w:val="20"/>
          <w:szCs w:val="20"/>
          <w:lang w:val="pt-PT"/>
        </w:rPr>
        <w:br/>
      </w:r>
      <w:bookmarkEnd w:id="1"/>
      <w:r w:rsidRPr="00D54B44">
        <w:rPr>
          <w:rFonts w:ascii="Noto Sans" w:hAnsi="Noto Sans" w:cs="Noto Sans"/>
          <w:sz w:val="20"/>
          <w:szCs w:val="20"/>
          <w:lang w:val="pt-PT"/>
        </w:rPr>
        <w:t xml:space="preserve">Jade Taylor-Salazar </w:t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r w:rsidRPr="00D54B44">
        <w:rPr>
          <w:rFonts w:ascii="Noto Sans" w:hAnsi="Noto Sans" w:cs="Noto Sans"/>
          <w:sz w:val="20"/>
          <w:szCs w:val="20"/>
          <w:lang w:val="pt-PT"/>
        </w:rPr>
        <w:t>Gerente de Relações Públicas e Conteúdo</w:t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r w:rsidRPr="00D54B44">
        <w:rPr>
          <w:rFonts w:ascii="Noto Sans" w:hAnsi="Noto Sans" w:cs="Noto Sans"/>
          <w:sz w:val="20"/>
          <w:szCs w:val="20"/>
          <w:lang w:val="pt-PT"/>
        </w:rPr>
        <w:t xml:space="preserve">Domino Printing Sciences </w:t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r w:rsidRPr="00D54B44">
        <w:rPr>
          <w:rFonts w:ascii="Noto Sans" w:hAnsi="Noto Sans" w:cs="Noto Sans"/>
          <w:sz w:val="20"/>
          <w:szCs w:val="20"/>
          <w:lang w:val="pt-PT"/>
        </w:rPr>
        <w:t>Tel.: +44 (0) 1954 778780</w:t>
      </w:r>
      <w:r w:rsidRPr="00D54B44">
        <w:rPr>
          <w:rFonts w:ascii="Noto Sans" w:hAnsi="Noto Sans" w:cs="Noto Sans"/>
          <w:sz w:val="20"/>
          <w:szCs w:val="20"/>
          <w:lang w:val="es-ES"/>
        </w:rPr>
        <w:br/>
      </w:r>
      <w:hyperlink r:id="rId12" w:history="1">
        <w:r w:rsidRPr="00D54B44">
          <w:rPr>
            <w:rStyle w:val="Hyperlink"/>
            <w:rFonts w:ascii="Noto Sans" w:hAnsi="Noto Sans" w:cs="Noto Sans"/>
            <w:sz w:val="20"/>
            <w:szCs w:val="20"/>
            <w:lang w:val="pt-PT"/>
          </w:rPr>
          <w:t>Jade.Taylor-Salazar@domino-uk.com</w:t>
        </w:r>
      </w:hyperlink>
      <w:r w:rsidRPr="00D54B44">
        <w:rPr>
          <w:rStyle w:val="Hyperlink"/>
          <w:rFonts w:ascii="Noto Sans" w:hAnsi="Noto Sans" w:cs="Noto Sans"/>
          <w:sz w:val="20"/>
          <w:szCs w:val="20"/>
          <w:lang w:val="pt-PT"/>
        </w:rPr>
        <w:br/>
      </w:r>
      <w:r w:rsidRPr="00D54B44">
        <w:rPr>
          <w:rStyle w:val="Hyperlink"/>
          <w:rFonts w:ascii="Noto Sans" w:hAnsi="Noto Sans" w:cs="Noto Sans"/>
          <w:sz w:val="20"/>
          <w:szCs w:val="20"/>
          <w:lang w:val="pt-PT"/>
        </w:rPr>
        <w:br/>
      </w:r>
      <w:r w:rsidRPr="00D54B44">
        <w:rPr>
          <w:rFonts w:ascii="Noto Sans" w:hAnsi="Noto Sans" w:cs="Noto Sans"/>
          <w:color w:val="0D0D0D" w:themeColor="text1" w:themeTint="F2"/>
          <w:sz w:val="20"/>
          <w:szCs w:val="20"/>
          <w:lang w:val="pt-PT"/>
        </w:rPr>
        <w:t xml:space="preserve">Patrícia Fernandes </w:t>
      </w:r>
      <w:r w:rsidRPr="00D54B44">
        <w:rPr>
          <w:rFonts w:ascii="Noto Sans" w:hAnsi="Noto Sans" w:cs="Noto Sans"/>
          <w:color w:val="0D0D0D" w:themeColor="text1" w:themeTint="F2"/>
          <w:sz w:val="20"/>
          <w:szCs w:val="20"/>
          <w:lang w:val="pt-PT"/>
        </w:rPr>
        <w:br/>
        <w:t>Executivo de Marketing</w:t>
      </w:r>
      <w:r w:rsidRPr="00D54B44">
        <w:rPr>
          <w:rFonts w:ascii="Noto Sans" w:hAnsi="Noto Sans" w:cs="Noto Sans"/>
          <w:color w:val="0D0D0D" w:themeColor="text1" w:themeTint="F2"/>
          <w:sz w:val="20"/>
          <w:szCs w:val="20"/>
          <w:lang w:val="pt-PT"/>
        </w:rPr>
        <w:br/>
        <w:t>Marque TDI</w:t>
      </w:r>
      <w:r w:rsidRPr="00D54B44">
        <w:rPr>
          <w:rFonts w:ascii="Noto Sans" w:hAnsi="Noto Sans" w:cs="Noto Sans"/>
          <w:color w:val="0D0D0D" w:themeColor="text1" w:themeTint="F2"/>
          <w:sz w:val="20"/>
          <w:szCs w:val="20"/>
          <w:lang w:val="pt-PT"/>
        </w:rPr>
        <w:br/>
        <w:t>Tel.: +351 229 866 660</w:t>
      </w:r>
      <w:r w:rsidRPr="00D54B44">
        <w:rPr>
          <w:rFonts w:ascii="Noto Sans" w:hAnsi="Noto Sans" w:cs="Noto Sans"/>
          <w:color w:val="0D0D0D" w:themeColor="text1" w:themeTint="F2"/>
          <w:sz w:val="20"/>
          <w:szCs w:val="20"/>
          <w:lang w:val="pt-PT"/>
        </w:rPr>
        <w:br/>
      </w:r>
      <w:hyperlink r:id="rId13" w:history="1">
        <w:r w:rsidRPr="00D54B44">
          <w:rPr>
            <w:rStyle w:val="Hyperlink"/>
            <w:rFonts w:ascii="Noto Sans" w:hAnsi="Noto Sans" w:cs="Noto Sans"/>
            <w:sz w:val="20"/>
            <w:szCs w:val="20"/>
            <w:lang w:val="pt-PT"/>
          </w:rPr>
          <w:t>patricia.fernandes@marquetdi.pt</w:t>
        </w:r>
      </w:hyperlink>
    </w:p>
    <w:p w14:paraId="5BA68E4E" w14:textId="77777777" w:rsidR="00D061E4" w:rsidRPr="00D54B44" w:rsidRDefault="00D061E4" w:rsidP="00D061E4">
      <w:pPr>
        <w:rPr>
          <w:rFonts w:ascii="Noto Sans" w:hAnsi="Noto Sans" w:cs="Noto Sans"/>
          <w:b/>
          <w:bCs/>
          <w:color w:val="202124"/>
          <w:sz w:val="20"/>
          <w:szCs w:val="20"/>
          <w:shd w:val="clear" w:color="auto" w:fill="F8F9FA"/>
          <w:lang w:val="pt-PT"/>
        </w:rPr>
      </w:pPr>
    </w:p>
    <w:p w14:paraId="1FAE3DA0" w14:textId="77777777" w:rsidR="00D061E4" w:rsidRPr="00564C71" w:rsidRDefault="00D061E4" w:rsidP="00D061E4">
      <w:pPr>
        <w:rPr>
          <w:rFonts w:ascii="Noto Sans" w:hAnsi="Noto Sans" w:cs="Noto Sans"/>
          <w:b/>
          <w:bCs/>
          <w:sz w:val="20"/>
          <w:szCs w:val="20"/>
          <w:lang w:val="es-ES"/>
        </w:rPr>
      </w:pPr>
    </w:p>
    <w:p w14:paraId="43158977" w14:textId="77777777" w:rsidR="00D4477C" w:rsidRPr="00D061E4" w:rsidRDefault="00D4477C" w:rsidP="00BD468A">
      <w:pPr>
        <w:rPr>
          <w:rFonts w:ascii="Noto Sans" w:hAnsi="Noto Sans" w:cs="Noto Sans"/>
          <w:sz w:val="20"/>
          <w:szCs w:val="20"/>
          <w:lang w:val="es-ES"/>
        </w:rPr>
      </w:pPr>
    </w:p>
    <w:p w14:paraId="4A3CFF3B" w14:textId="77777777" w:rsidR="00D4477C" w:rsidRPr="005F594F" w:rsidRDefault="00D4477C" w:rsidP="00BD468A">
      <w:pPr>
        <w:rPr>
          <w:rFonts w:ascii="Noto Sans" w:hAnsi="Noto Sans" w:cs="Noto Sans"/>
          <w:sz w:val="20"/>
          <w:szCs w:val="20"/>
          <w:lang w:val="es-ES"/>
        </w:rPr>
      </w:pPr>
    </w:p>
    <w:sectPr w:rsidR="00D4477C" w:rsidRPr="005F594F" w:rsidSect="00684F6E">
      <w:headerReference w:type="default" r:id="rId14"/>
      <w:footerReference w:type="default" r:id="rId15"/>
      <w:pgSz w:w="11906" w:h="16838"/>
      <w:pgMar w:top="1440" w:right="1440" w:bottom="1440" w:left="1440" w:header="1531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35DBF" w14:textId="77777777" w:rsidR="00795202" w:rsidRDefault="00795202" w:rsidP="00795202">
      <w:pPr>
        <w:spacing w:after="0" w:line="240" w:lineRule="auto"/>
      </w:pPr>
      <w:r>
        <w:separator/>
      </w:r>
    </w:p>
  </w:endnote>
  <w:endnote w:type="continuationSeparator" w:id="0">
    <w:p w14:paraId="77749794" w14:textId="77777777" w:rsidR="00795202" w:rsidRDefault="00795202" w:rsidP="007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ill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2BCB" w14:textId="0D8374E7" w:rsidR="00795202" w:rsidRDefault="00795202">
    <w:pPr>
      <w:pStyle w:val="Footer"/>
    </w:pPr>
    <w:r>
      <w:rPr>
        <w:noProof/>
        <w:lang w:val="pt"/>
      </w:rPr>
      <w:drawing>
        <wp:anchor distT="0" distB="0" distL="114300" distR="114300" simplePos="0" relativeHeight="251661312" behindDoc="1" locked="0" layoutInCell="1" allowOverlap="1" wp14:anchorId="1866F8D3" wp14:editId="397F4F15">
          <wp:simplePos x="0" y="0"/>
          <wp:positionH relativeFrom="page">
            <wp:posOffset>57150</wp:posOffset>
          </wp:positionH>
          <wp:positionV relativeFrom="page">
            <wp:posOffset>9138920</wp:posOffset>
          </wp:positionV>
          <wp:extent cx="7448550" cy="1259840"/>
          <wp:effectExtent l="0" t="0" r="0" b="0"/>
          <wp:wrapNone/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knif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59C949" w14:textId="07288B94" w:rsidR="00795202" w:rsidRDefault="00795202">
    <w:pPr>
      <w:pStyle w:val="Footer"/>
    </w:pPr>
    <w:r>
      <w:rPr>
        <w:noProof/>
        <w:lang w:val="pt"/>
      </w:rPr>
      <w:drawing>
        <wp:anchor distT="0" distB="0" distL="114300" distR="114300" simplePos="0" relativeHeight="251662336" behindDoc="0" locked="0" layoutInCell="1" allowOverlap="1" wp14:anchorId="7A857A58" wp14:editId="3CDE64E4">
          <wp:simplePos x="0" y="0"/>
          <wp:positionH relativeFrom="column">
            <wp:posOffset>4962525</wp:posOffset>
          </wp:positionH>
          <wp:positionV relativeFrom="paragraph">
            <wp:posOffset>1168400</wp:posOffset>
          </wp:positionV>
          <wp:extent cx="1469390" cy="140335"/>
          <wp:effectExtent l="0" t="0" r="0" b="0"/>
          <wp:wrapSquare wrapText="bothSides"/>
          <wp:docPr id="3489202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CEB0C" w14:textId="77777777" w:rsidR="00795202" w:rsidRDefault="00795202" w:rsidP="00795202">
      <w:pPr>
        <w:spacing w:after="0" w:line="240" w:lineRule="auto"/>
      </w:pPr>
      <w:r>
        <w:separator/>
      </w:r>
    </w:p>
  </w:footnote>
  <w:footnote w:type="continuationSeparator" w:id="0">
    <w:p w14:paraId="2C186CD3" w14:textId="77777777" w:rsidR="00795202" w:rsidRDefault="00795202" w:rsidP="0079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0EB9" w14:textId="642335CD" w:rsidR="00795202" w:rsidRDefault="00795202">
    <w:pPr>
      <w:pStyle w:val="Header"/>
    </w:pPr>
    <w:r>
      <w:rPr>
        <w:noProof/>
        <w:lang w:val="pt"/>
      </w:rPr>
      <w:drawing>
        <wp:anchor distT="0" distB="0" distL="114300" distR="114300" simplePos="0" relativeHeight="251659264" behindDoc="0" locked="0" layoutInCell="1" allowOverlap="1" wp14:anchorId="1194BC94" wp14:editId="59BDF9C0">
          <wp:simplePos x="0" y="0"/>
          <wp:positionH relativeFrom="page">
            <wp:posOffset>57150</wp:posOffset>
          </wp:positionH>
          <wp:positionV relativeFrom="paragraph">
            <wp:posOffset>-953135</wp:posOffset>
          </wp:positionV>
          <wp:extent cx="2781300" cy="109664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20"/>
                  <a:stretch/>
                </pic:blipFill>
                <pic:spPr bwMode="auto">
                  <a:xfrm>
                    <a:off x="0" y="0"/>
                    <a:ext cx="2781300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7599A" w14:textId="77777777" w:rsidR="00795202" w:rsidRDefault="00795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734E"/>
    <w:multiLevelType w:val="hybridMultilevel"/>
    <w:tmpl w:val="80B2A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E706C"/>
    <w:multiLevelType w:val="hybridMultilevel"/>
    <w:tmpl w:val="7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01F94"/>
    <w:multiLevelType w:val="hybridMultilevel"/>
    <w:tmpl w:val="38D2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C0216"/>
    <w:multiLevelType w:val="hybridMultilevel"/>
    <w:tmpl w:val="62AA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D66B8"/>
    <w:multiLevelType w:val="multilevel"/>
    <w:tmpl w:val="E2C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F71046"/>
    <w:multiLevelType w:val="hybridMultilevel"/>
    <w:tmpl w:val="1BF2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069800">
    <w:abstractNumId w:val="1"/>
  </w:num>
  <w:num w:numId="2" w16cid:durableId="257564244">
    <w:abstractNumId w:val="2"/>
  </w:num>
  <w:num w:numId="3" w16cid:durableId="381097426">
    <w:abstractNumId w:val="3"/>
  </w:num>
  <w:num w:numId="4" w16cid:durableId="1892229341">
    <w:abstractNumId w:val="5"/>
  </w:num>
  <w:num w:numId="5" w16cid:durableId="870798137">
    <w:abstractNumId w:val="0"/>
  </w:num>
  <w:num w:numId="6" w16cid:durableId="379207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0E"/>
    <w:rsid w:val="000021B8"/>
    <w:rsid w:val="000330EA"/>
    <w:rsid w:val="00054B9B"/>
    <w:rsid w:val="00055BCA"/>
    <w:rsid w:val="00056333"/>
    <w:rsid w:val="00057055"/>
    <w:rsid w:val="00077841"/>
    <w:rsid w:val="0008183D"/>
    <w:rsid w:val="00091098"/>
    <w:rsid w:val="000958F4"/>
    <w:rsid w:val="000D2ED7"/>
    <w:rsid w:val="000D76F5"/>
    <w:rsid w:val="000D7F41"/>
    <w:rsid w:val="000E7E57"/>
    <w:rsid w:val="001028FF"/>
    <w:rsid w:val="001376D8"/>
    <w:rsid w:val="00157765"/>
    <w:rsid w:val="0018035F"/>
    <w:rsid w:val="001B54EA"/>
    <w:rsid w:val="001B79D7"/>
    <w:rsid w:val="001D205C"/>
    <w:rsid w:val="001D6C9D"/>
    <w:rsid w:val="001D7EAD"/>
    <w:rsid w:val="0022166E"/>
    <w:rsid w:val="002646DB"/>
    <w:rsid w:val="00266839"/>
    <w:rsid w:val="00273A68"/>
    <w:rsid w:val="00283D0C"/>
    <w:rsid w:val="0029306A"/>
    <w:rsid w:val="002A1046"/>
    <w:rsid w:val="002B0A07"/>
    <w:rsid w:val="002C17B0"/>
    <w:rsid w:val="002F4795"/>
    <w:rsid w:val="00326D82"/>
    <w:rsid w:val="00353496"/>
    <w:rsid w:val="003701E8"/>
    <w:rsid w:val="00391190"/>
    <w:rsid w:val="0039439B"/>
    <w:rsid w:val="003A680F"/>
    <w:rsid w:val="003B089D"/>
    <w:rsid w:val="003B29BA"/>
    <w:rsid w:val="003B43DD"/>
    <w:rsid w:val="003C5A77"/>
    <w:rsid w:val="003D24BF"/>
    <w:rsid w:val="003D4B63"/>
    <w:rsid w:val="003F06EE"/>
    <w:rsid w:val="00426897"/>
    <w:rsid w:val="00433FB3"/>
    <w:rsid w:val="00436198"/>
    <w:rsid w:val="00441728"/>
    <w:rsid w:val="00445E00"/>
    <w:rsid w:val="004670D7"/>
    <w:rsid w:val="004830F0"/>
    <w:rsid w:val="0048493D"/>
    <w:rsid w:val="00487662"/>
    <w:rsid w:val="004B68F2"/>
    <w:rsid w:val="004C1670"/>
    <w:rsid w:val="004C1F6B"/>
    <w:rsid w:val="00512D85"/>
    <w:rsid w:val="00535CC8"/>
    <w:rsid w:val="00542B8F"/>
    <w:rsid w:val="00574793"/>
    <w:rsid w:val="00590717"/>
    <w:rsid w:val="005A3683"/>
    <w:rsid w:val="005C06BB"/>
    <w:rsid w:val="005F594F"/>
    <w:rsid w:val="00604D8B"/>
    <w:rsid w:val="00604E5F"/>
    <w:rsid w:val="00605AFD"/>
    <w:rsid w:val="00616EBF"/>
    <w:rsid w:val="006355E4"/>
    <w:rsid w:val="006374E3"/>
    <w:rsid w:val="0064323F"/>
    <w:rsid w:val="00654A73"/>
    <w:rsid w:val="00664652"/>
    <w:rsid w:val="00677A04"/>
    <w:rsid w:val="00684F6E"/>
    <w:rsid w:val="006A13D1"/>
    <w:rsid w:val="006B3228"/>
    <w:rsid w:val="00754494"/>
    <w:rsid w:val="00784A77"/>
    <w:rsid w:val="00795202"/>
    <w:rsid w:val="007A132C"/>
    <w:rsid w:val="007A760E"/>
    <w:rsid w:val="007D0FBD"/>
    <w:rsid w:val="007F20B4"/>
    <w:rsid w:val="00823D1A"/>
    <w:rsid w:val="00833B13"/>
    <w:rsid w:val="00833E7D"/>
    <w:rsid w:val="00840547"/>
    <w:rsid w:val="00857C32"/>
    <w:rsid w:val="00860771"/>
    <w:rsid w:val="0086675A"/>
    <w:rsid w:val="0088029E"/>
    <w:rsid w:val="008A628A"/>
    <w:rsid w:val="008A7EC8"/>
    <w:rsid w:val="008E7DE1"/>
    <w:rsid w:val="00905B0C"/>
    <w:rsid w:val="0091214E"/>
    <w:rsid w:val="00954516"/>
    <w:rsid w:val="00960C37"/>
    <w:rsid w:val="00973036"/>
    <w:rsid w:val="009757C0"/>
    <w:rsid w:val="00977654"/>
    <w:rsid w:val="00981486"/>
    <w:rsid w:val="00982BCD"/>
    <w:rsid w:val="009873CD"/>
    <w:rsid w:val="009953B1"/>
    <w:rsid w:val="009F1684"/>
    <w:rsid w:val="00A14176"/>
    <w:rsid w:val="00A32FC6"/>
    <w:rsid w:val="00A36FA6"/>
    <w:rsid w:val="00A50D23"/>
    <w:rsid w:val="00A66C7E"/>
    <w:rsid w:val="00A817C0"/>
    <w:rsid w:val="00A9653A"/>
    <w:rsid w:val="00AA63B1"/>
    <w:rsid w:val="00AD1D9A"/>
    <w:rsid w:val="00B117A5"/>
    <w:rsid w:val="00B13282"/>
    <w:rsid w:val="00B149AF"/>
    <w:rsid w:val="00B439EA"/>
    <w:rsid w:val="00B71466"/>
    <w:rsid w:val="00BB6F84"/>
    <w:rsid w:val="00BD468A"/>
    <w:rsid w:val="00BE202A"/>
    <w:rsid w:val="00BE4448"/>
    <w:rsid w:val="00C32BEA"/>
    <w:rsid w:val="00C5352B"/>
    <w:rsid w:val="00C62DEF"/>
    <w:rsid w:val="00C732EC"/>
    <w:rsid w:val="00C81FD2"/>
    <w:rsid w:val="00C875A8"/>
    <w:rsid w:val="00C94BBB"/>
    <w:rsid w:val="00CD1D26"/>
    <w:rsid w:val="00CF1EAE"/>
    <w:rsid w:val="00D061E4"/>
    <w:rsid w:val="00D410ED"/>
    <w:rsid w:val="00D4210A"/>
    <w:rsid w:val="00D4477C"/>
    <w:rsid w:val="00D53F0A"/>
    <w:rsid w:val="00D6269E"/>
    <w:rsid w:val="00D63632"/>
    <w:rsid w:val="00D722F1"/>
    <w:rsid w:val="00D7490E"/>
    <w:rsid w:val="00DC19E0"/>
    <w:rsid w:val="00DD169C"/>
    <w:rsid w:val="00DD7BB1"/>
    <w:rsid w:val="00E10CBE"/>
    <w:rsid w:val="00E1142C"/>
    <w:rsid w:val="00E12774"/>
    <w:rsid w:val="00E26E7A"/>
    <w:rsid w:val="00E325D2"/>
    <w:rsid w:val="00E46189"/>
    <w:rsid w:val="00E50DEE"/>
    <w:rsid w:val="00E53850"/>
    <w:rsid w:val="00E5788B"/>
    <w:rsid w:val="00E76B8A"/>
    <w:rsid w:val="00E96FAC"/>
    <w:rsid w:val="00EE10AA"/>
    <w:rsid w:val="00EE5A5F"/>
    <w:rsid w:val="00EF5E39"/>
    <w:rsid w:val="00F00E11"/>
    <w:rsid w:val="00F10599"/>
    <w:rsid w:val="00F145CD"/>
    <w:rsid w:val="00F319E1"/>
    <w:rsid w:val="00F37F6F"/>
    <w:rsid w:val="00F76D1C"/>
    <w:rsid w:val="00F83289"/>
    <w:rsid w:val="00F8416C"/>
    <w:rsid w:val="00F95BB7"/>
    <w:rsid w:val="00FB2B4C"/>
    <w:rsid w:val="00FB5AB1"/>
    <w:rsid w:val="00FC0836"/>
    <w:rsid w:val="00FC28A4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203715"/>
  <w15:chartTrackingRefBased/>
  <w15:docId w15:val="{267AA7ED-F46D-4CFE-ABCB-D57E8E9D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js-selector-attr">
    <w:name w:val="hljs-selector-attr"/>
    <w:basedOn w:val="DefaultParagraphFont"/>
    <w:rsid w:val="00D7490E"/>
  </w:style>
  <w:style w:type="character" w:customStyle="1" w:styleId="hljs-selector-tag">
    <w:name w:val="hljs-selector-tag"/>
    <w:basedOn w:val="DefaultParagraphFont"/>
    <w:rsid w:val="00D7490E"/>
  </w:style>
  <w:style w:type="character" w:customStyle="1" w:styleId="ui-provider">
    <w:name w:val="ui-provider"/>
    <w:basedOn w:val="DefaultParagraphFont"/>
    <w:rsid w:val="001376D8"/>
  </w:style>
  <w:style w:type="character" w:customStyle="1" w:styleId="nowrap">
    <w:name w:val="nowrap"/>
    <w:basedOn w:val="DefaultParagraphFont"/>
    <w:rsid w:val="00754494"/>
  </w:style>
  <w:style w:type="character" w:styleId="Hyperlink">
    <w:name w:val="Hyperlink"/>
    <w:basedOn w:val="DefaultParagraphFont"/>
    <w:uiPriority w:val="99"/>
    <w:unhideWhenUsed/>
    <w:rsid w:val="007544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35C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7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7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4E3"/>
    <w:rPr>
      <w:b/>
      <w:bCs/>
      <w:sz w:val="20"/>
      <w:szCs w:val="20"/>
    </w:rPr>
  </w:style>
  <w:style w:type="paragraph" w:customStyle="1" w:styleId="pf0">
    <w:name w:val="pf0"/>
    <w:basedOn w:val="Normal"/>
    <w:rsid w:val="0091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91214E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574793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A7EC8"/>
    <w:rPr>
      <w:color w:val="605E5C"/>
      <w:shd w:val="clear" w:color="auto" w:fill="E1DFDD"/>
    </w:rPr>
  </w:style>
  <w:style w:type="character" w:customStyle="1" w:styleId="stext1vwy5-kwm">
    <w:name w:val="___stext_1vwy5-kwm_"/>
    <w:basedOn w:val="DefaultParagraphFont"/>
    <w:rsid w:val="00B71466"/>
  </w:style>
  <w:style w:type="character" w:customStyle="1" w:styleId="kwm-kddata">
    <w:name w:val="kwm-kd__data"/>
    <w:basedOn w:val="DefaultParagraphFont"/>
    <w:rsid w:val="00B71466"/>
  </w:style>
  <w:style w:type="paragraph" w:styleId="Revision">
    <w:name w:val="Revision"/>
    <w:hidden/>
    <w:uiPriority w:val="99"/>
    <w:semiHidden/>
    <w:rsid w:val="00C535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5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202"/>
  </w:style>
  <w:style w:type="paragraph" w:styleId="Footer">
    <w:name w:val="footer"/>
    <w:basedOn w:val="Normal"/>
    <w:link w:val="FooterChar"/>
    <w:uiPriority w:val="99"/>
    <w:unhideWhenUsed/>
    <w:rsid w:val="00795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" w:color="auto"/>
            <w:bottom w:val="single" w:sz="6" w:space="0" w:color="E0E1E9"/>
            <w:right w:val="none" w:sz="0" w:space="0" w:color="auto"/>
          </w:divBdr>
          <w:divsChild>
            <w:div w:id="325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0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6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" w:color="auto"/>
            <w:bottom w:val="single" w:sz="6" w:space="0" w:color="E0E1E9"/>
            <w:right w:val="none" w:sz="0" w:space="0" w:color="auto"/>
          </w:divBdr>
          <w:divsChild>
            <w:div w:id="16264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6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62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ino-printing.com/pt-pt/news-and-events/news.aspx?utm_medium=non-paid&amp;utm_source=onlinepublication&amp;utm_content=automated-printing-and-label-verification-solution-pr&amp;utm_campaign=2024-int-pt-customers,prospects-a-a-a-a-" TargetMode="External"/><Relationship Id="rId13" Type="http://schemas.openxmlformats.org/officeDocument/2006/relationships/hyperlink" Target="mailto:patricia.fernandes@marquetdi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de.Taylor-Salazar@domino-u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mino-printing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omino-printing.com/pt-pt/products/machine-vision/r-series?utm_medium=non-paid&amp;utm_source=onlinepublication&amp;utm_content=automated-printing-and-label-verification-solution-pr&amp;utm_campaign=2024-int-pt-customers,prospects-a-a-a-a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mino-printing.com/pt-pt/products/quick-design-software?utm_medium=non-paid&amp;utm_source=onlinepublication&amp;utm_content=automated-printing-and-label-verification-solution-pr&amp;utm_campaign=2024-int-pt-customers,prospects-a-a-a-a-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7B15-56F9-497E-8C6A-48AF6E54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Taylor-Salazar</dc:creator>
  <cp:keywords/>
  <dc:description/>
  <cp:lastModifiedBy>Rachael Cooper</cp:lastModifiedBy>
  <cp:revision>5</cp:revision>
  <dcterms:created xsi:type="dcterms:W3CDTF">2024-06-19T09:11:00Z</dcterms:created>
  <dcterms:modified xsi:type="dcterms:W3CDTF">2024-06-19T09:20:00Z</dcterms:modified>
</cp:coreProperties>
</file>